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0E" w:rsidRPr="004F5D97" w:rsidRDefault="002E410E" w:rsidP="002E410E">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21 veintiuno de marzo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2E410E" w:rsidRPr="004F5D97" w:rsidRDefault="002E410E" w:rsidP="002E410E">
      <w:pPr>
        <w:rPr>
          <w:rFonts w:ascii="Calibri" w:hAnsi="Calibri" w:cs="Calibri"/>
          <w:color w:val="595959" w:themeColor="text1" w:themeTint="A6"/>
          <w:sz w:val="26"/>
          <w:szCs w:val="26"/>
        </w:rPr>
      </w:pPr>
    </w:p>
    <w:p w:rsidR="002E410E" w:rsidRPr="004F5D97" w:rsidRDefault="002E410E" w:rsidP="002E410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1236/2doJAM/2017-JN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2E410E" w:rsidRPr="004F5D97" w:rsidRDefault="002E410E" w:rsidP="002E410E">
      <w:pPr>
        <w:pStyle w:val="Textoindependiente"/>
        <w:rPr>
          <w:rFonts w:ascii="Calibri" w:hAnsi="Calibri" w:cs="Calibri"/>
          <w:color w:val="595959" w:themeColor="text1" w:themeTint="A6"/>
          <w:sz w:val="26"/>
          <w:szCs w:val="26"/>
        </w:rPr>
      </w:pPr>
    </w:p>
    <w:p w:rsidR="002E410E" w:rsidRPr="004F5D97" w:rsidRDefault="002E410E" w:rsidP="002E410E">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2E410E" w:rsidRPr="004F5D97" w:rsidRDefault="002E410E" w:rsidP="002E410E">
      <w:pPr>
        <w:pStyle w:val="Textoindependiente"/>
        <w:ind w:firstLine="708"/>
        <w:jc w:val="center"/>
        <w:rPr>
          <w:rFonts w:ascii="Calibri" w:hAnsi="Calibri" w:cs="Calibri"/>
          <w:b/>
          <w:bCs/>
          <w:color w:val="595959" w:themeColor="text1" w:themeTint="A6"/>
          <w:sz w:val="26"/>
          <w:szCs w:val="26"/>
        </w:rPr>
      </w:pPr>
    </w:p>
    <w:p w:rsidR="002E410E" w:rsidRPr="004F5D97" w:rsidRDefault="002E410E" w:rsidP="002E410E">
      <w:pPr>
        <w:pStyle w:val="Textoindependiente"/>
        <w:rPr>
          <w:rFonts w:ascii="Calibri" w:hAnsi="Calibri" w:cs="Calibri"/>
          <w:b/>
          <w:bCs/>
          <w:color w:val="595959" w:themeColor="text1" w:themeTint="A6"/>
          <w:sz w:val="26"/>
          <w:szCs w:val="26"/>
        </w:rPr>
      </w:pPr>
    </w:p>
    <w:p w:rsidR="002E410E" w:rsidRPr="004F5D97" w:rsidRDefault="002E410E" w:rsidP="002E410E">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2E410E" w:rsidRPr="004F5D97" w:rsidRDefault="002E410E" w:rsidP="002E410E">
      <w:pPr>
        <w:jc w:val="both"/>
        <w:rPr>
          <w:rFonts w:ascii="Calibri" w:hAnsi="Calibri" w:cs="Calibri"/>
          <w:b/>
          <w:i/>
          <w:iCs/>
          <w:color w:val="595959" w:themeColor="text1" w:themeTint="A6"/>
          <w:sz w:val="26"/>
          <w:szCs w:val="26"/>
          <w:lang w:val="es-MX"/>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366932 (tres-seis-seis-nueve-tres-dos), de fecha 10 diez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r>
        <w:rPr>
          <w:rFonts w:ascii="Calibri" w:hAnsi="Calibri" w:cs="Calibri"/>
          <w:color w:val="595959" w:themeColor="text1" w:themeTint="A6"/>
          <w:sz w:val="26"/>
          <w:szCs w:val="26"/>
        </w:rPr>
        <w:t xml:space="preserve">. . . . . . . . . </w:t>
      </w:r>
    </w:p>
    <w:p w:rsidR="002E410E" w:rsidRDefault="002E410E" w:rsidP="002E410E">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1236/2doJAM/2017-JN</w:t>
      </w:r>
    </w:p>
    <w:p w:rsidR="002E410E" w:rsidRPr="004F5D97" w:rsidRDefault="002E410E" w:rsidP="002E410E">
      <w:pPr>
        <w:jc w:val="both"/>
        <w:rPr>
          <w:rFonts w:ascii="Calibri" w:hAnsi="Calibri" w:cs="Calibri"/>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2E410E" w:rsidRPr="004F5D97" w:rsidRDefault="002E410E" w:rsidP="002E410E">
      <w:pPr>
        <w:jc w:val="both"/>
        <w:rPr>
          <w:rFonts w:ascii="Calibri" w:hAnsi="Calibri" w:cs="Calibri"/>
          <w:b/>
          <w:bCs/>
          <w:i/>
          <w:iCs/>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2E410E" w:rsidRPr="004F5D97" w:rsidRDefault="002E410E" w:rsidP="002E410E">
      <w:pPr>
        <w:rPr>
          <w:rFonts w:ascii="Calibri" w:hAnsi="Calibri" w:cs="Calibri"/>
          <w:b/>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w:t>
      </w:r>
      <w:r w:rsidRPr="004F5D97">
        <w:rPr>
          <w:rFonts w:ascii="Calibri" w:hAnsi="Calibri" w:cs="Calibri"/>
          <w:color w:val="595959" w:themeColor="text1" w:themeTint="A6"/>
          <w:sz w:val="26"/>
          <w:szCs w:val="26"/>
        </w:rPr>
        <w:lastRenderedPageBreak/>
        <w:t xml:space="preserve">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2E410E" w:rsidRPr="004F5D97" w:rsidRDefault="002E410E" w:rsidP="002E410E">
      <w:pPr>
        <w:ind w:firstLine="708"/>
        <w:jc w:val="both"/>
        <w:rPr>
          <w:rFonts w:ascii="Calibri" w:hAnsi="Calibri" w:cs="Calibri"/>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20 veinte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2E410E" w:rsidRPr="004F5D97" w:rsidRDefault="002E410E" w:rsidP="002E410E">
      <w:pPr>
        <w:jc w:val="both"/>
        <w:rPr>
          <w:rFonts w:ascii="Calibri" w:hAnsi="Calibri" w:cs="Calibri"/>
          <w:b/>
          <w:bCs/>
          <w:i/>
          <w:iCs/>
          <w:color w:val="595959" w:themeColor="text1" w:themeTint="A6"/>
          <w:sz w:val="26"/>
          <w:szCs w:val="26"/>
        </w:rPr>
      </w:pPr>
    </w:p>
    <w:p w:rsidR="002E410E" w:rsidRPr="004F5D97" w:rsidRDefault="002E410E" w:rsidP="002E410E">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2E410E" w:rsidRPr="004F5D97" w:rsidRDefault="002E410E" w:rsidP="002E410E">
      <w:pPr>
        <w:jc w:val="both"/>
        <w:rPr>
          <w:rFonts w:ascii="Calibri" w:hAnsi="Calibri" w:cs="Calibri"/>
          <w:b/>
          <w:bCs/>
          <w:i/>
          <w:iCs/>
          <w:color w:val="595959" w:themeColor="text1" w:themeTint="A6"/>
          <w:sz w:val="26"/>
          <w:szCs w:val="26"/>
        </w:rPr>
      </w:pPr>
    </w:p>
    <w:p w:rsidR="002E410E" w:rsidRPr="004F5D97" w:rsidRDefault="002E410E" w:rsidP="002E410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2E410E" w:rsidRPr="004F5D97" w:rsidRDefault="002E410E" w:rsidP="002E410E">
      <w:pPr>
        <w:pStyle w:val="Sangradetextonormal"/>
        <w:ind w:left="0" w:firstLine="708"/>
        <w:jc w:val="both"/>
        <w:rPr>
          <w:rFonts w:ascii="Calibri" w:hAnsi="Calibri" w:cs="Calibri"/>
          <w:bCs/>
          <w:iCs/>
          <w:color w:val="595959" w:themeColor="text1" w:themeTint="A6"/>
          <w:sz w:val="20"/>
          <w:szCs w:val="20"/>
        </w:rPr>
      </w:pPr>
    </w:p>
    <w:p w:rsidR="002E410E" w:rsidRDefault="002E410E" w:rsidP="002E410E">
      <w:pPr>
        <w:ind w:firstLine="708"/>
        <w:jc w:val="both"/>
        <w:rPr>
          <w:rFonts w:ascii="Calibri" w:hAnsi="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tercer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w:t>
      </w:r>
      <w:r w:rsidRPr="00B11769">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2E410E" w:rsidRPr="004F5D97" w:rsidRDefault="002E410E" w:rsidP="002E410E">
      <w:pPr>
        <w:pStyle w:val="Sangradetextonormal"/>
        <w:ind w:left="0"/>
        <w:jc w:val="both"/>
        <w:rPr>
          <w:rFonts w:ascii="Calibri" w:hAnsi="Calibri" w:cs="Calibri"/>
          <w:bCs/>
          <w:iCs/>
          <w:color w:val="595959" w:themeColor="text1" w:themeTint="A6"/>
          <w:sz w:val="20"/>
          <w:szCs w:val="20"/>
        </w:rPr>
      </w:pPr>
    </w:p>
    <w:p w:rsidR="002E410E" w:rsidRPr="004F5D97" w:rsidRDefault="002E410E" w:rsidP="002E410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w:t>
      </w:r>
      <w:r w:rsidRPr="004F5D97">
        <w:rPr>
          <w:rFonts w:ascii="Calibri" w:hAnsi="Calibri" w:cs="Calibri"/>
          <w:bCs/>
          <w:iCs/>
          <w:color w:val="595959" w:themeColor="text1" w:themeTint="A6"/>
          <w:sz w:val="26"/>
          <w:szCs w:val="26"/>
        </w:rPr>
        <w:lastRenderedPageBreak/>
        <w:t xml:space="preserve">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2E410E" w:rsidRPr="004F5D97" w:rsidRDefault="002E410E" w:rsidP="002E410E">
      <w:pPr>
        <w:pStyle w:val="Sangradetextonormal"/>
        <w:ind w:left="0" w:firstLine="708"/>
        <w:jc w:val="both"/>
        <w:rPr>
          <w:rFonts w:ascii="Calibri" w:hAnsi="Calibri" w:cs="Calibri"/>
          <w:bCs/>
          <w:iCs/>
          <w:color w:val="595959" w:themeColor="text1" w:themeTint="A6"/>
          <w:sz w:val="20"/>
          <w:szCs w:val="20"/>
        </w:rPr>
      </w:pPr>
    </w:p>
    <w:p w:rsidR="002E410E" w:rsidRPr="004F5D97" w:rsidRDefault="002E410E" w:rsidP="002E410E">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286851898 (dos-ocho-seis-ocho-cinco-uno-ocho-nueve-ocho)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0288 (LE cero-dos-ocho-ocho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8062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 . . . . . . . . . . . . . . .</w:t>
      </w:r>
    </w:p>
    <w:p w:rsidR="002E410E" w:rsidRPr="004F5D97" w:rsidRDefault="002E410E" w:rsidP="002E410E">
      <w:pPr>
        <w:pStyle w:val="Sangradetextonormal"/>
        <w:ind w:left="0" w:firstLine="708"/>
        <w:jc w:val="both"/>
        <w:rPr>
          <w:rFonts w:ascii="Calibri" w:hAnsi="Calibri" w:cs="Calibri"/>
          <w:bCs/>
          <w:iCs/>
          <w:color w:val="595959" w:themeColor="text1" w:themeTint="A6"/>
          <w:sz w:val="20"/>
          <w:szCs w:val="20"/>
        </w:rPr>
      </w:pPr>
    </w:p>
    <w:p w:rsidR="002E410E" w:rsidRPr="004F5D97" w:rsidRDefault="002E410E" w:rsidP="002E410E">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2E410E" w:rsidRPr="004F5D97" w:rsidRDefault="002E410E" w:rsidP="002E410E">
      <w:pPr>
        <w:jc w:val="both"/>
        <w:rPr>
          <w:rFonts w:ascii="Calibri" w:hAnsi="Calibri" w:cs="Calibri"/>
          <w:b/>
          <w:bCs/>
          <w:i/>
          <w:iCs/>
          <w:color w:val="595959" w:themeColor="text1" w:themeTint="A6"/>
          <w:sz w:val="26"/>
          <w:szCs w:val="26"/>
          <w:lang w:val="es-MX"/>
        </w:rPr>
      </w:pPr>
    </w:p>
    <w:p w:rsidR="002E410E" w:rsidRPr="004F5D97" w:rsidRDefault="002E410E" w:rsidP="002E410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E410E" w:rsidRPr="004F5D97" w:rsidRDefault="002E410E" w:rsidP="002E410E">
      <w:pPr>
        <w:jc w:val="both"/>
        <w:rPr>
          <w:rFonts w:ascii="Calibri" w:hAnsi="Calibri" w:cs="Calibri"/>
          <w:color w:val="595959" w:themeColor="text1" w:themeTint="A6"/>
          <w:sz w:val="26"/>
          <w:szCs w:val="26"/>
        </w:rPr>
      </w:pPr>
    </w:p>
    <w:p w:rsidR="002E410E" w:rsidRPr="004F5D97" w:rsidRDefault="002E410E" w:rsidP="002E410E">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1236/2doJAM/2017-JN</w:t>
      </w:r>
    </w:p>
    <w:p w:rsidR="002E410E" w:rsidRPr="004F5D97" w:rsidRDefault="002E410E" w:rsidP="002E410E">
      <w:pPr>
        <w:ind w:firstLine="708"/>
        <w:jc w:val="both"/>
        <w:rPr>
          <w:rFonts w:ascii="Calibri" w:hAnsi="Calibri" w:cs="Calibri"/>
          <w:color w:val="595959" w:themeColor="text1" w:themeTint="A6"/>
          <w:sz w:val="26"/>
          <w:szCs w:val="26"/>
        </w:rPr>
      </w:pPr>
    </w:p>
    <w:p w:rsidR="002E410E" w:rsidRPr="004F1AE9" w:rsidRDefault="002E410E" w:rsidP="002E410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proofErr w:type="spellStart"/>
      <w:r>
        <w:rPr>
          <w:rFonts w:ascii="Calibri" w:hAnsi="Calibri" w:cs="Calibri"/>
          <w:i/>
          <w:iCs/>
          <w:color w:val="595959" w:themeColor="text1" w:themeTint="A6"/>
          <w:sz w:val="26"/>
          <w:szCs w:val="26"/>
        </w:rPr>
        <w:t>Blvd</w:t>
      </w:r>
      <w:proofErr w:type="spellEnd"/>
      <w:r>
        <w:rPr>
          <w:rFonts w:ascii="Calibri" w:hAnsi="Calibri" w:cs="Calibri"/>
          <w:i/>
          <w:iCs/>
          <w:color w:val="595959" w:themeColor="text1" w:themeTint="A6"/>
          <w:sz w:val="26"/>
          <w:szCs w:val="26"/>
        </w:rPr>
        <w:t xml:space="preserve"> Antonio Madrazo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366932 (tres-seis-seis-nueve-</w:t>
      </w:r>
      <w:r>
        <w:rPr>
          <w:rFonts w:ascii="Calibri" w:hAnsi="Calibri" w:cs="Calibri"/>
          <w:color w:val="595959" w:themeColor="text1" w:themeTint="A6"/>
          <w:sz w:val="26"/>
          <w:szCs w:val="26"/>
        </w:rPr>
        <w:lastRenderedPageBreak/>
        <w:t>tres-dos)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horarios, rutas, itinerarios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(Me encontraba……..verificando el cumplimiento del servicio, por parte de la empresa concesionaria y de los operadores……teniendo incumplimiento del servicio #25………….)</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Torres León José Guadalupe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w:t>
      </w:r>
    </w:p>
    <w:p w:rsidR="002E410E" w:rsidRPr="004F5D97" w:rsidRDefault="002E410E" w:rsidP="002E410E">
      <w:pPr>
        <w:pStyle w:val="Textoindependiente"/>
        <w:tabs>
          <w:tab w:val="left" w:pos="3594"/>
        </w:tabs>
        <w:rPr>
          <w:rFonts w:ascii="Calibri" w:hAnsi="Calibri" w:cs="Calibri"/>
          <w:color w:val="595959" w:themeColor="text1" w:themeTint="A6"/>
          <w:sz w:val="26"/>
          <w:szCs w:val="26"/>
          <w:lang w:val="es-ES"/>
        </w:rPr>
      </w:pPr>
    </w:p>
    <w:p w:rsidR="002E410E" w:rsidRPr="004F5D97" w:rsidRDefault="002E410E" w:rsidP="002E410E">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w:t>
      </w:r>
    </w:p>
    <w:p w:rsidR="002E410E" w:rsidRPr="004F5D97" w:rsidRDefault="002E410E" w:rsidP="002E410E">
      <w:pPr>
        <w:pStyle w:val="Textoindependiente"/>
        <w:tabs>
          <w:tab w:val="left" w:pos="3594"/>
        </w:tabs>
        <w:rPr>
          <w:rFonts w:ascii="Calibri" w:hAnsi="Calibri" w:cs="Calibri"/>
          <w:iCs/>
          <w:color w:val="595959" w:themeColor="text1" w:themeTint="A6"/>
          <w:sz w:val="26"/>
          <w:szCs w:val="26"/>
        </w:rPr>
      </w:pPr>
    </w:p>
    <w:p w:rsidR="002E410E" w:rsidRPr="004F5D97" w:rsidRDefault="002E410E" w:rsidP="002E410E">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2E410E" w:rsidRPr="004F5D97" w:rsidRDefault="002E410E" w:rsidP="002E410E">
      <w:pPr>
        <w:pStyle w:val="Textoindependiente"/>
        <w:tabs>
          <w:tab w:val="left" w:pos="3594"/>
        </w:tabs>
        <w:rPr>
          <w:rFonts w:ascii="Calibri" w:hAnsi="Calibri" w:cs="Calibri"/>
          <w:iCs/>
          <w:color w:val="595959" w:themeColor="text1" w:themeTint="A6"/>
          <w:sz w:val="26"/>
          <w:szCs w:val="26"/>
        </w:rPr>
      </w:pPr>
    </w:p>
    <w:p w:rsidR="002E410E" w:rsidRPr="004F5D97" w:rsidRDefault="002E410E" w:rsidP="002E410E">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número 366932 (tres-seis-seis-nueve-tres-dos)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2E410E" w:rsidRPr="004F5D97" w:rsidRDefault="002E410E" w:rsidP="002E410E">
      <w:pPr>
        <w:jc w:val="both"/>
        <w:rPr>
          <w:color w:val="595959" w:themeColor="text1" w:themeTint="A6"/>
          <w:sz w:val="22"/>
        </w:rPr>
      </w:pPr>
    </w:p>
    <w:p w:rsidR="002E410E" w:rsidRPr="00DF1CF6" w:rsidRDefault="002E410E" w:rsidP="002E410E">
      <w:pPr>
        <w:pStyle w:val="Textoindependiente"/>
        <w:ind w:firstLine="708"/>
        <w:rPr>
          <w:rFonts w:ascii="Calibri" w:hAnsi="Calibri"/>
          <w:b/>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Cuarto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w:t>
      </w:r>
    </w:p>
    <w:p w:rsidR="002E410E" w:rsidRPr="004F5D97" w:rsidRDefault="002E410E" w:rsidP="002E410E">
      <w:pPr>
        <w:ind w:firstLine="708"/>
        <w:jc w:val="both"/>
        <w:rPr>
          <w:color w:val="595959" w:themeColor="text1" w:themeTint="A6"/>
          <w:lang w:val="es-MX"/>
        </w:rPr>
      </w:pPr>
    </w:p>
    <w:p w:rsidR="002E410E" w:rsidRPr="004F5D97" w:rsidRDefault="002E410E" w:rsidP="002E410E">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r w:rsidRPr="004F5D97">
        <w:rPr>
          <w:rFonts w:ascii="Calibri" w:hAnsi="Calibri"/>
          <w:i/>
          <w:iCs/>
          <w:color w:val="595959" w:themeColor="text1" w:themeTint="A6"/>
          <w:sz w:val="26"/>
        </w:rPr>
        <w:lastRenderedPageBreak/>
        <w:t xml:space="preserve">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2E410E" w:rsidRPr="004F5D97" w:rsidRDefault="002E410E" w:rsidP="002E410E">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2E410E" w:rsidRPr="004F5D97" w:rsidRDefault="002E410E" w:rsidP="002E410E">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282 se encontraba obligada a prestar el servicio de transporte identificado como 4 cuatro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2E410E" w:rsidRPr="004F5D97" w:rsidRDefault="002E410E" w:rsidP="002E410E">
      <w:pPr>
        <w:jc w:val="both"/>
        <w:rPr>
          <w:rFonts w:ascii="Calibri" w:hAnsi="Calibri" w:cs="Calibri"/>
          <w:iCs/>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2E410E" w:rsidRPr="004F5D97" w:rsidRDefault="002E410E" w:rsidP="002E410E">
      <w:pPr>
        <w:jc w:val="both"/>
        <w:rPr>
          <w:rFonts w:ascii="Calibri" w:hAnsi="Calibri" w:cs="Calibri"/>
          <w:bCs/>
          <w:color w:val="595959" w:themeColor="text1" w:themeTint="A6"/>
          <w:sz w:val="26"/>
          <w:szCs w:val="26"/>
        </w:rPr>
      </w:pPr>
    </w:p>
    <w:p w:rsidR="002E410E" w:rsidRPr="004F5D97" w:rsidRDefault="002E410E" w:rsidP="002E41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366932 (tres-seis-seis-nueve-tres-dos)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 . . . . . . . . . . . . . . . . . . .</w:t>
      </w:r>
      <w:r>
        <w:rPr>
          <w:rFonts w:asciiTheme="minorHAnsi" w:hAnsiTheme="minorHAnsi" w:cs="Calibri"/>
          <w:bCs/>
          <w:i/>
          <w:color w:val="595959" w:themeColor="text1" w:themeTint="A6"/>
          <w:sz w:val="26"/>
          <w:szCs w:val="26"/>
        </w:rPr>
        <w:t xml:space="preserve"> . . . . . . . . . . . . . . . . . . . . . . . . . . . </w:t>
      </w:r>
      <w:r w:rsidRPr="004F5D97">
        <w:rPr>
          <w:rFonts w:asciiTheme="minorHAnsi" w:hAnsiTheme="minorHAnsi" w:cs="Calibri"/>
          <w:bCs/>
          <w:i/>
          <w:color w:val="595959" w:themeColor="text1" w:themeTint="A6"/>
          <w:sz w:val="26"/>
          <w:szCs w:val="26"/>
        </w:rPr>
        <w:t xml:space="preserve"> </w:t>
      </w:r>
    </w:p>
    <w:p w:rsidR="002E410E" w:rsidRPr="004F5D97" w:rsidRDefault="002E410E" w:rsidP="002E410E">
      <w:pPr>
        <w:jc w:val="both"/>
        <w:rPr>
          <w:rFonts w:ascii="Calibri" w:hAnsi="Calibri" w:cs="Calibri"/>
          <w:bCs/>
          <w:color w:val="595959" w:themeColor="text1" w:themeTint="A6"/>
          <w:sz w:val="26"/>
          <w:szCs w:val="26"/>
        </w:rPr>
      </w:pPr>
    </w:p>
    <w:p w:rsidR="002E410E" w:rsidRPr="00E95DFA" w:rsidRDefault="002E410E" w:rsidP="002E410E">
      <w:pPr>
        <w:ind w:firstLine="708"/>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sidRPr="004F5D97">
        <w:rPr>
          <w:rFonts w:ascii="Calibri" w:hAnsi="Calibri" w:cs="Calibri"/>
          <w:bCs/>
          <w:color w:val="595959" w:themeColor="text1" w:themeTint="A6"/>
          <w:sz w:val="26"/>
          <w:szCs w:val="26"/>
        </w:rPr>
        <w:lastRenderedPageBreak/>
        <w:t xml:space="preserve">poco claro, ya </w:t>
      </w:r>
      <w:r>
        <w:rPr>
          <w:rFonts w:ascii="Calibri" w:hAnsi="Calibri" w:cs="Calibri"/>
          <w:bCs/>
          <w:color w:val="595959" w:themeColor="text1" w:themeTint="A6"/>
          <w:sz w:val="26"/>
          <w:szCs w:val="26"/>
        </w:rPr>
        <w:t>que no precisa a que se refiere la expresión</w:t>
      </w:r>
      <w:r w:rsidRPr="001F6EE1">
        <w:rPr>
          <w:rFonts w:ascii="Calibri" w:hAnsi="Calibri" w:cs="Calibri"/>
          <w:bCs/>
          <w:color w:val="767171" w:themeColor="background2" w:themeShade="80"/>
          <w:sz w:val="26"/>
          <w:szCs w:val="26"/>
        </w:rPr>
        <w:t xml:space="preserve"> </w:t>
      </w:r>
      <w:r>
        <w:rPr>
          <w:rFonts w:ascii="Calibri" w:hAnsi="Calibri" w:cs="Calibri"/>
          <w:bCs/>
          <w:i/>
          <w:color w:val="767171" w:themeColor="background2" w:themeShade="80"/>
          <w:sz w:val="26"/>
          <w:szCs w:val="26"/>
        </w:rPr>
        <w:t>“incumplimiento del servicio”;</w:t>
      </w:r>
      <w:r>
        <w:rPr>
          <w:rFonts w:ascii="Calibri" w:hAnsi="Calibri" w:cs="Calibri"/>
          <w:bCs/>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 . . . . . . . . . . . . .</w:t>
      </w:r>
    </w:p>
    <w:p w:rsidR="002E410E" w:rsidRDefault="002E410E" w:rsidP="002E410E">
      <w:pPr>
        <w:ind w:firstLine="708"/>
        <w:jc w:val="both"/>
        <w:rPr>
          <w:rFonts w:ascii="Calibri" w:hAnsi="Calibri"/>
          <w:color w:val="595959" w:themeColor="text1" w:themeTint="A6"/>
          <w:sz w:val="26"/>
          <w:szCs w:val="26"/>
        </w:rPr>
      </w:pPr>
    </w:p>
    <w:p w:rsidR="002E410E" w:rsidRDefault="002E410E" w:rsidP="002E410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Mercedes Benz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 xml:space="preserve">0288 (LE cero-dos-ocho-ocho), cuando de la propia acta, se puede presumir </w:t>
      </w:r>
      <w:r w:rsidRPr="00172714">
        <w:rPr>
          <w:rFonts w:ascii="Calibri" w:hAnsi="Calibri"/>
          <w:color w:val="595959" w:themeColor="text1" w:themeTint="A6"/>
          <w:sz w:val="26"/>
          <w:szCs w:val="26"/>
        </w:rPr>
        <w:t xml:space="preserve">que a quien atribuye </w:t>
      </w:r>
      <w:r>
        <w:rPr>
          <w:rFonts w:ascii="Calibri" w:hAnsi="Calibri"/>
          <w:color w:val="595959" w:themeColor="text1" w:themeTint="A6"/>
          <w:sz w:val="26"/>
          <w:szCs w:val="26"/>
        </w:rPr>
        <w:t>el incumplimiento,</w:t>
      </w:r>
      <w:r w:rsidRPr="00172714">
        <w:rPr>
          <w:rFonts w:ascii="Calibri" w:hAnsi="Calibri"/>
          <w:color w:val="595959" w:themeColor="text1" w:themeTint="A6"/>
          <w:sz w:val="26"/>
          <w:szCs w:val="26"/>
        </w:rPr>
        <w:t xml:space="preserve"> es a la unidad</w:t>
      </w:r>
      <w:r>
        <w:rPr>
          <w:rFonts w:ascii="Calibri" w:hAnsi="Calibri"/>
          <w:color w:val="595959" w:themeColor="text1" w:themeTint="A6"/>
          <w:sz w:val="26"/>
          <w:szCs w:val="26"/>
        </w:rPr>
        <w:t xml:space="preserve"> marca International,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282 (LE guion dos-ocho-dos)</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 .</w:t>
      </w:r>
    </w:p>
    <w:p w:rsidR="002E410E" w:rsidRPr="004F5D97" w:rsidRDefault="002E410E" w:rsidP="002E410E">
      <w:pPr>
        <w:ind w:firstLine="708"/>
        <w:jc w:val="both"/>
        <w:rPr>
          <w:rFonts w:ascii="Calibri" w:hAnsi="Calibri"/>
          <w:color w:val="595959" w:themeColor="text1" w:themeTint="A6"/>
          <w:sz w:val="26"/>
          <w:szCs w:val="26"/>
        </w:rPr>
      </w:pPr>
    </w:p>
    <w:p w:rsidR="002E410E" w:rsidRPr="004F5D97" w:rsidRDefault="002E410E" w:rsidP="002E410E">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2E410E" w:rsidRPr="004F5D97" w:rsidRDefault="002E410E" w:rsidP="002E410E">
      <w:pPr>
        <w:jc w:val="both"/>
        <w:rPr>
          <w:rFonts w:ascii="Calibri" w:hAnsi="Calibri"/>
          <w:color w:val="595959" w:themeColor="text1" w:themeTint="A6"/>
          <w:sz w:val="26"/>
          <w:szCs w:val="26"/>
        </w:rPr>
      </w:pPr>
    </w:p>
    <w:p w:rsidR="002E410E" w:rsidRPr="004F5D97" w:rsidRDefault="002E410E" w:rsidP="002E410E">
      <w:pPr>
        <w:jc w:val="both"/>
        <w:rPr>
          <w:rFonts w:ascii="Calibri" w:hAnsi="Calibri"/>
          <w:color w:val="595959" w:themeColor="text1" w:themeTint="A6"/>
          <w:sz w:val="26"/>
          <w:szCs w:val="26"/>
        </w:rPr>
      </w:pPr>
    </w:p>
    <w:p w:rsidR="002E410E" w:rsidRPr="004F5D97" w:rsidRDefault="002E410E" w:rsidP="002E410E">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366932 (tres-seis-seis-nueve-tres-dos)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10 </w:t>
      </w:r>
      <w:r w:rsidRPr="00B96246">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w:t>
      </w:r>
    </w:p>
    <w:p w:rsidR="002E410E" w:rsidRPr="004F5D97" w:rsidRDefault="002E410E" w:rsidP="002E410E">
      <w:pPr>
        <w:jc w:val="both"/>
        <w:rPr>
          <w:rFonts w:ascii="Calibri" w:hAnsi="Calibri" w:cs="Calibri"/>
          <w:color w:val="595959" w:themeColor="text1" w:themeTint="A6"/>
          <w:sz w:val="20"/>
          <w:szCs w:val="20"/>
        </w:rPr>
      </w:pPr>
    </w:p>
    <w:p w:rsidR="002E410E" w:rsidRPr="004F5D97" w:rsidRDefault="002E410E" w:rsidP="002E410E">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E410E" w:rsidRPr="004F5D97" w:rsidRDefault="002E410E" w:rsidP="002E410E">
      <w:pPr>
        <w:pStyle w:val="Textoindependiente"/>
        <w:rPr>
          <w:rFonts w:ascii="Calibri" w:hAnsi="Calibri" w:cs="Arial"/>
          <w:color w:val="595959" w:themeColor="text1" w:themeTint="A6"/>
          <w:sz w:val="20"/>
          <w:szCs w:val="27"/>
          <w:lang w:val="es-ES"/>
        </w:rPr>
      </w:pPr>
    </w:p>
    <w:p w:rsidR="002E410E" w:rsidRPr="004F5D97" w:rsidRDefault="002E410E" w:rsidP="002E410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2E410E" w:rsidRPr="004F5D97" w:rsidRDefault="002E410E" w:rsidP="002E410E">
      <w:pPr>
        <w:pStyle w:val="Textoindependiente"/>
        <w:rPr>
          <w:rFonts w:ascii="Calibri" w:hAnsi="Calibri"/>
          <w:b/>
          <w:bCs/>
          <w:i/>
          <w:iCs/>
          <w:color w:val="595959" w:themeColor="text1" w:themeTint="A6"/>
          <w:sz w:val="20"/>
          <w:szCs w:val="20"/>
        </w:rPr>
      </w:pPr>
    </w:p>
    <w:p w:rsidR="002E410E" w:rsidRPr="004F5D97" w:rsidRDefault="002E410E" w:rsidP="002E410E">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lastRenderedPageBreak/>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2E410E" w:rsidRPr="004F5D97" w:rsidRDefault="002E410E" w:rsidP="002E410E">
      <w:pPr>
        <w:pStyle w:val="Textoindependiente"/>
        <w:ind w:firstLine="708"/>
        <w:rPr>
          <w:rFonts w:ascii="Calibri" w:hAnsi="Calibri"/>
          <w:b/>
          <w:i/>
          <w:color w:val="595959" w:themeColor="text1" w:themeTint="A6"/>
          <w:sz w:val="20"/>
          <w:szCs w:val="20"/>
        </w:rPr>
      </w:pPr>
    </w:p>
    <w:p w:rsidR="002E410E" w:rsidRPr="004F5D97" w:rsidRDefault="002E410E" w:rsidP="002E410E">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7070168</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siete-cero-siete-cero-uno-seis-ocho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w:t>
      </w:r>
    </w:p>
    <w:p w:rsidR="002E410E" w:rsidRPr="004F5D97" w:rsidRDefault="002E410E" w:rsidP="002E410E">
      <w:pPr>
        <w:pStyle w:val="Textoindependiente"/>
        <w:ind w:firstLine="708"/>
        <w:rPr>
          <w:rFonts w:ascii="Calibri" w:hAnsi="Calibri" w:cs="Arial"/>
          <w:color w:val="595959" w:themeColor="text1" w:themeTint="A6"/>
          <w:sz w:val="26"/>
          <w:szCs w:val="27"/>
        </w:rPr>
      </w:pPr>
    </w:p>
    <w:p w:rsidR="002E410E" w:rsidRPr="004F5D97" w:rsidRDefault="002E410E" w:rsidP="002E410E">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e</w:t>
      </w:r>
      <w:r>
        <w:rPr>
          <w:rFonts w:ascii="Calibri" w:hAnsi="Calibri" w:cs="Arial"/>
          <w:color w:val="595959" w:themeColor="text1" w:themeTint="A6"/>
          <w:sz w:val="26"/>
          <w:szCs w:val="27"/>
        </w:rPr>
        <w:t>l</w:t>
      </w:r>
      <w:r w:rsidRPr="004F5D97">
        <w:rPr>
          <w:rFonts w:ascii="Calibri" w:hAnsi="Calibri" w:cs="Arial"/>
          <w:color w:val="595959" w:themeColor="text1" w:themeTint="A6"/>
          <w:sz w:val="26"/>
          <w:szCs w:val="27"/>
        </w:rPr>
        <w:t xml:space="preserve">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w:t>
      </w:r>
    </w:p>
    <w:p w:rsidR="002E410E" w:rsidRPr="004F5D97" w:rsidRDefault="002E410E" w:rsidP="002E410E">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2E410E" w:rsidRPr="004F5D97" w:rsidRDefault="002E410E" w:rsidP="002E410E">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w:t>
      </w:r>
      <w:r w:rsidRPr="004F5D97">
        <w:rPr>
          <w:rFonts w:ascii="Calibri" w:hAnsi="Calibri" w:cs="Arial"/>
          <w:color w:val="595959" w:themeColor="text1" w:themeTint="A6"/>
          <w:sz w:val="20"/>
          <w:szCs w:val="20"/>
        </w:rPr>
        <w:lastRenderedPageBreak/>
        <w:t xml:space="preserve">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2E410E" w:rsidRPr="004F5D97" w:rsidRDefault="002E410E" w:rsidP="002E410E">
      <w:pPr>
        <w:pStyle w:val="Textoindependiente"/>
        <w:ind w:firstLine="708"/>
        <w:rPr>
          <w:rFonts w:ascii="Calibri" w:hAnsi="Calibri"/>
          <w:color w:val="595959" w:themeColor="text1" w:themeTint="A6"/>
          <w:sz w:val="20"/>
          <w:szCs w:val="20"/>
        </w:rPr>
      </w:pPr>
    </w:p>
    <w:p w:rsidR="002E410E" w:rsidRPr="004F5D97" w:rsidRDefault="002E410E" w:rsidP="002E410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2E410E" w:rsidRPr="004F5D97" w:rsidRDefault="002E410E" w:rsidP="002E410E">
      <w:pPr>
        <w:pStyle w:val="Textoindependiente"/>
        <w:ind w:firstLine="708"/>
        <w:rPr>
          <w:rFonts w:ascii="Calibri" w:hAnsi="Calibri" w:cs="Calibri"/>
          <w:color w:val="595959" w:themeColor="text1" w:themeTint="A6"/>
          <w:sz w:val="20"/>
          <w:szCs w:val="20"/>
        </w:rPr>
      </w:pPr>
    </w:p>
    <w:p w:rsidR="002E410E" w:rsidRPr="004F5D97" w:rsidRDefault="002E410E" w:rsidP="002E410E">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2E410E" w:rsidRPr="004F5D97" w:rsidRDefault="002E410E" w:rsidP="002E410E">
      <w:pPr>
        <w:pStyle w:val="Textoindependiente"/>
        <w:rPr>
          <w:rFonts w:ascii="Calibri" w:hAnsi="Calibri" w:cs="Calibri"/>
          <w:color w:val="595959" w:themeColor="text1" w:themeTint="A6"/>
          <w:sz w:val="20"/>
          <w:szCs w:val="20"/>
        </w:rPr>
      </w:pPr>
    </w:p>
    <w:p w:rsidR="002E410E" w:rsidRDefault="002E410E" w:rsidP="002E410E">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1236/2doJAM/2017-JN</w:t>
      </w:r>
    </w:p>
    <w:p w:rsidR="002E410E" w:rsidRDefault="002E410E" w:rsidP="002E410E">
      <w:pPr>
        <w:pStyle w:val="Textoindependiente"/>
        <w:rPr>
          <w:rFonts w:ascii="Calibri" w:hAnsi="Calibri" w:cs="Calibri"/>
          <w:b/>
          <w:bCs/>
          <w:i/>
          <w:iCs/>
          <w:color w:val="595959" w:themeColor="text1" w:themeTint="A6"/>
          <w:sz w:val="26"/>
          <w:szCs w:val="26"/>
        </w:rPr>
      </w:pPr>
    </w:p>
    <w:p w:rsidR="002E410E" w:rsidRPr="004F5D97" w:rsidRDefault="002E410E" w:rsidP="002E410E">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2E410E" w:rsidRPr="004F5D97" w:rsidRDefault="002E410E" w:rsidP="002E410E">
      <w:pPr>
        <w:pStyle w:val="Textoindependiente"/>
        <w:ind w:firstLine="708"/>
        <w:rPr>
          <w:rFonts w:ascii="Calibri" w:hAnsi="Calibri" w:cs="Calibri"/>
          <w:color w:val="595959" w:themeColor="text1" w:themeTint="A6"/>
          <w:sz w:val="20"/>
          <w:szCs w:val="20"/>
        </w:rPr>
      </w:pPr>
    </w:p>
    <w:p w:rsidR="002E410E" w:rsidRPr="00AA1F9B" w:rsidRDefault="002E410E" w:rsidP="002E410E">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2E410E" w:rsidRPr="004F5D97" w:rsidRDefault="002E410E" w:rsidP="002E410E">
      <w:pPr>
        <w:pStyle w:val="Textoindependiente"/>
        <w:ind w:firstLine="708"/>
        <w:rPr>
          <w:rFonts w:ascii="Calibri" w:hAnsi="Calibri" w:cs="Calibri"/>
          <w:bCs/>
          <w:iCs/>
          <w:color w:val="595959" w:themeColor="text1" w:themeTint="A6"/>
          <w:sz w:val="20"/>
          <w:szCs w:val="20"/>
        </w:rPr>
      </w:pPr>
    </w:p>
    <w:p w:rsidR="002E410E" w:rsidRPr="004F5D97" w:rsidRDefault="002E410E" w:rsidP="002E410E">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366932 (tres-seis-seis-nueve-tres-dos)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10 </w:t>
      </w:r>
      <w:r w:rsidRPr="00B96246">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 . . . . . . </w:t>
      </w:r>
    </w:p>
    <w:p w:rsidR="002E410E" w:rsidRPr="004F5D97" w:rsidRDefault="002E410E" w:rsidP="002E410E">
      <w:pPr>
        <w:ind w:firstLine="708"/>
        <w:jc w:val="both"/>
        <w:rPr>
          <w:rFonts w:ascii="Calibri" w:hAnsi="Calibri" w:cs="Calibri"/>
          <w:b/>
          <w:bCs/>
          <w:i/>
          <w:iCs/>
          <w:color w:val="595959" w:themeColor="text1" w:themeTint="A6"/>
          <w:sz w:val="26"/>
          <w:szCs w:val="26"/>
        </w:rPr>
      </w:pPr>
    </w:p>
    <w:p w:rsidR="002E410E" w:rsidRPr="004F5D97" w:rsidRDefault="002E410E" w:rsidP="002E410E">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xml:space="preserve">. . . . . . . . . . </w:t>
      </w:r>
    </w:p>
    <w:p w:rsidR="002E410E" w:rsidRPr="004F5D97" w:rsidRDefault="002E410E" w:rsidP="002E410E">
      <w:pPr>
        <w:ind w:firstLine="708"/>
        <w:jc w:val="both"/>
        <w:rPr>
          <w:rFonts w:ascii="Calibri" w:hAnsi="Calibri" w:cs="Calibri"/>
          <w:b/>
          <w:color w:val="595959" w:themeColor="text1" w:themeTint="A6"/>
          <w:sz w:val="20"/>
          <w:szCs w:val="20"/>
        </w:rPr>
      </w:pPr>
    </w:p>
    <w:p w:rsidR="002E410E" w:rsidRPr="004F5D97" w:rsidRDefault="002E410E" w:rsidP="002E410E">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2E410E" w:rsidRPr="004F5D97" w:rsidRDefault="002E410E" w:rsidP="002E410E">
      <w:pPr>
        <w:jc w:val="both"/>
        <w:rPr>
          <w:rFonts w:ascii="Calibri" w:hAnsi="Calibri" w:cs="Calibri"/>
          <w:color w:val="595959" w:themeColor="text1" w:themeTint="A6"/>
          <w:sz w:val="20"/>
          <w:szCs w:val="20"/>
        </w:rPr>
      </w:pPr>
    </w:p>
    <w:p w:rsidR="002E410E" w:rsidRPr="004F5D97" w:rsidRDefault="002E410E" w:rsidP="002E410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2E410E" w:rsidRPr="004F5D97" w:rsidRDefault="002E410E" w:rsidP="002E410E">
      <w:pPr>
        <w:pStyle w:val="Textoindependiente"/>
        <w:rPr>
          <w:rFonts w:ascii="Calibri" w:hAnsi="Calibri" w:cs="Calibri"/>
          <w:color w:val="595959" w:themeColor="text1" w:themeTint="A6"/>
          <w:sz w:val="20"/>
          <w:szCs w:val="20"/>
        </w:rPr>
      </w:pPr>
    </w:p>
    <w:p w:rsidR="002E410E" w:rsidRPr="004F5D97" w:rsidRDefault="002E410E" w:rsidP="002E410E">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2E410E" w:rsidRPr="004F5D97" w:rsidRDefault="002E410E" w:rsidP="002E410E">
      <w:pPr>
        <w:pStyle w:val="Textoindependiente"/>
        <w:rPr>
          <w:rFonts w:ascii="Calibri" w:hAnsi="Calibri" w:cs="Calibri"/>
          <w:color w:val="595959" w:themeColor="text1" w:themeTint="A6"/>
          <w:sz w:val="20"/>
          <w:szCs w:val="20"/>
        </w:rPr>
      </w:pPr>
    </w:p>
    <w:p w:rsidR="002E410E" w:rsidRPr="004F5D97" w:rsidRDefault="002E410E" w:rsidP="002E410E">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2E410E">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0E"/>
    <w:rsid w:val="002E410E"/>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A4C2E-696F-436D-9D31-DB020DB1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0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E410E"/>
    <w:pPr>
      <w:jc w:val="both"/>
    </w:pPr>
    <w:rPr>
      <w:lang w:val="es-MX"/>
    </w:rPr>
  </w:style>
  <w:style w:type="character" w:customStyle="1" w:styleId="TextoindependienteCar">
    <w:name w:val="Texto independiente Car"/>
    <w:basedOn w:val="Fuentedeprrafopredeter"/>
    <w:link w:val="Textoindependiente"/>
    <w:rsid w:val="002E410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2E410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2E410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3686</Words>
  <Characters>20273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2018-04-25T15:21:00Z</dcterms:created>
  <dcterms:modified xsi:type="dcterms:W3CDTF">2018-04-25T15:21:00Z</dcterms:modified>
</cp:coreProperties>
</file>